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Global content localization agreement</w:t>
      </w:r>
    </w:p>
    <w:p>
      <w:r>
        <w:rPr>
          <w:b/>
        </w:rPr>
        <w:t>Review version for Niko Media and the Creator</w:t>
      </w:r>
    </w:p>
    <w:p>
      <w:r>
        <w:rPr>
          <w:b w:val="0"/>
        </w:rPr>
        <w:t>This proposed revision sets out the services, production limits, revenue calculation, deposit, ownership, approval process and exit arrangements. Complete the party details and Annex A before signature. All newly drafted provisions require the parties’ review; figures explicitly marked PROPOSED are negotiating terms, not previously agreed commitments.</w:t>
      </w:r>
    </w:p>
    <w:p>
      <w:pPr>
        <w:pStyle w:val="Heading2"/>
      </w:pPr>
      <w:r>
        <w:rPr>
          <w:color w:val="8614E8"/>
        </w:rPr>
        <w:t>Parties and effective date</w:t>
      </w:r>
    </w:p>
    <w:p>
      <w:r>
        <w:rPr>
          <w:b w:val="0"/>
        </w:rPr>
        <w:t>Agency: [full legal name], trading as Niko Media</w:t>
        <w:br/>
        <w:t>Tax or registration number: [complete]</w:t>
        <w:br/>
        <w:t>Registered or professional address: [complete]</w:t>
        <w:br/>
        <w:t>Authorized representative and title: [complete]</w:t>
        <w:br/>
        <w:t>Notice and billing email: [complete]</w:t>
      </w:r>
    </w:p>
    <w:p>
      <w:r>
        <w:rPr>
          <w:b w:val="0"/>
        </w:rPr>
        <w:t>Creator: [full legal name or company name]</w:t>
        <w:br/>
        <w:t>Tax or registration number: [complete]</w:t>
        <w:br/>
        <w:t>Registered or professional address: [complete]</w:t>
        <w:br/>
        <w:t>Authorized representative, if applicable: [complete]</w:t>
        <w:br/>
        <w:t>Notice and billing email: [complete]</w:t>
      </w:r>
    </w:p>
    <w:p>
      <w:r>
        <w:rPr>
          <w:b w:val="0"/>
        </w:rPr>
        <w:t>Effective date: [date of the last signature]. The parties enter into this Agreement for their professional content activities.</w:t>
      </w:r>
    </w:p>
    <w:p>
      <w:pPr>
        <w:pStyle w:val="Heading2"/>
      </w:pPr>
      <w:r>
        <w:rPr>
          <w:color w:val="8614E8"/>
        </w:rPr>
        <w:t>1 Purpose and commercial model</w:t>
      </w:r>
    </w:p>
    <w:p>
      <w:r>
        <w:rPr>
          <w:b w:val="0"/>
        </w:rPr>
        <w:t>Niko Media will localize selected existing videos and operate the selected localized channels listed in Annex A. Only named languages, channels, platforms and approved content are covered. Each additional language or channel requires a written amendment, including revised capacity and schedule. No exclusivity is granted unless expressly added in writing.</w:t>
      </w:r>
    </w:p>
    <w:p>
      <w:r>
        <w:rPr>
          <w:b w:val="0"/>
        </w:rPr>
        <w:t>Core: Niko Media receives 30% and the Creator retains 70% of Net Revenue. Premium, also called the Global Expansion Suite: Niko Media receives 50% and the Creator retains 50%. Premium replaces the Core percentage; the percentages are not added together.</w:t>
      </w:r>
    </w:p>
    <w:p>
      <w:r>
        <w:rPr>
          <w:b w:val="0"/>
        </w:rPr>
        <w:t>The revenue share applies only to covered localized activity. The Creator’s original channel and unrelated business revenue are excluded. A EUR 500 refundable security deposit is required before work starts, subject to clause 5. No separate upfront service fee or minimum monthly service fee is created by this Agreement.</w:t>
      </w:r>
    </w:p>
    <w:p>
      <w:r>
        <w:rPr>
          <w:b w:val="0"/>
        </w:rPr>
        <w:t>Select one plan in Annex A. The production limits are binding only when completed and accepted by both parties. Unresolved fields must be completed or expressly marked not applicable before work begins.</w:t>
      </w:r>
    </w:p>
    <w:p>
      <w:pPr>
        <w:pStyle w:val="Heading1"/>
        <w:pageBreakBefore/>
      </w:pPr>
      <w:r>
        <w:t>2 Core services and Premium services</w:t>
      </w:r>
    </w:p>
    <w:p>
      <w:pPr>
        <w:pStyle w:val="Heading2"/>
      </w:pPr>
      <w:r>
        <w:rPr>
          <w:color w:val="8614E8"/>
        </w:rPr>
        <w:t>2 Core services</w:t>
      </w:r>
    </w:p>
    <w:p>
      <w:r>
        <w:rPr>
          <w:b w:val="0"/>
        </w:rPr>
        <w:t>For each selected language and within Annex A capacity, Core includes:</w:t>
      </w:r>
    </w:p>
    <w:p>
      <w:pPr>
        <w:pStyle w:val="ListBullet"/>
      </w:pPr>
      <w:r>
        <w:t>Multilingual voice creation, translation and cultural adaptation, and lip sync recreation for the approved content.</w:t>
      </w:r>
    </w:p>
    <w:p>
      <w:pPr>
        <w:pStyle w:val="ListBullet"/>
      </w:pPr>
      <w:r>
        <w:t>Creation of a new language channel, uploading and scheduling, SEO optimization, and thumbnail localization.</w:t>
      </w:r>
    </w:p>
    <w:p>
      <w:pPr>
        <w:pStyle w:val="ListBullet"/>
      </w:pPr>
      <w:r>
        <w:t>Comment moderation and community management; presence tracking, meaning monitoring the agreed localized channels and reporting identified brand or publication issues; and one monthly analytics report.</w:t>
      </w:r>
    </w:p>
    <w:p>
      <w:pPr>
        <w:pStyle w:val="ListBullet"/>
      </w:pPr>
      <w:r>
        <w:t>NikoText™ Session: a collaborative session with the Creator’s editor to identify and translate on-screen text, guide its replacement and review the resulting accuracy. The Creator’s editor performs the visual editing and supplies the corrected export. Core does not include Agency execution of full visual replacement.</w:t>
      </w:r>
    </w:p>
    <w:p>
      <w:pPr>
        <w:pStyle w:val="Heading2"/>
      </w:pPr>
      <w:r>
        <w:rPr>
          <w:color w:val="8614E8"/>
        </w:rPr>
        <w:t>3 Global Expansion Suite</w:t>
      </w:r>
    </w:p>
    <w:p>
      <w:r>
        <w:rPr>
          <w:b w:val="0"/>
        </w:rPr>
        <w:t>Premium includes Core services plus the following, within the quantities and dependencies in Annex A:</w:t>
      </w:r>
    </w:p>
    <w:p>
      <w:pPr>
        <w:pStyle w:val="ListBullet"/>
      </w:pPr>
      <w:r>
        <w:t>Multilingual Shorts repurposing; A/B testing of titles and thumbnails where the platform makes testing available; and localized community posts.</w:t>
      </w:r>
    </w:p>
    <w:p>
      <w:pPr>
        <w:pStyle w:val="ListBullet"/>
      </w:pPr>
      <w:r>
        <w:t>Content strategy per language; RPM and monetization optimization; one monthly strategy call; and access to a live analytics dashboard using the available source data. “Live” does not promise zero-delay platform reporting.</w:t>
      </w:r>
    </w:p>
    <w:p>
      <w:pPr>
        <w:pStyle w:val="ListBullet"/>
      </w:pPr>
      <w:r>
        <w:t>NikoText™ Complete: Niko Media performs translation, replacement and integration of the agreed on-screen text and text-bearing visual elements, including captions, labels, charts, headlines and interface text. It preserves the agreed visual style, placement and motion as closely as reasonably achievable.</w:t>
      </w:r>
    </w:p>
    <w:p>
      <w:r>
        <w:rPr>
          <w:b w:val="0"/>
        </w:rPr>
        <w:t>Under Premium, the Agency performs the visual replacement work; the Creator is not required to have its editor execute that replacement. Source and project files must still be supplied when required. A Session may be used for editorial decisions without shifting the Complete work to the Creator’s editor.</w:t>
      </w:r>
    </w:p>
    <w:p>
      <w:pPr>
        <w:pStyle w:val="Heading2"/>
      </w:pPr>
      <w:r>
        <w:rPr>
          <w:color w:val="8614E8"/>
        </w:rPr>
        <w:t>Visual feasibility and additional work</w:t>
      </w:r>
    </w:p>
    <w:p>
      <w:r>
        <w:rPr>
          <w:b w:val="0"/>
        </w:rPr>
        <w:t>NikoText Complete includes the agreed visual inventory, not an unlimited reconstruction of every frame. Standard scope covers editable text and straightforward text replacement on flat or trackable surfaces. Difficult occlusion, heavy camera movement, complex 3D typography, restoration of missing backgrounds, rebuilding charts or animation, and non-text artwork recreation require a feasibility assessment and written scope approval.</w:t>
      </w:r>
    </w:p>
    <w:p>
      <w:r>
        <w:rPr>
          <w:b w:val="0"/>
        </w:rPr>
        <w:t>The Agency identifies these exceptions before accepting the video. If a necessary element cannot be delivered to the agreed standard, the parties must agree an alternative, an extra quote or removal of that video from the production queue. No substitution or extra charge is imposed without written approval. Required project files and available source materials are recorded in Annex A.</w:t>
      </w:r>
    </w:p>
    <w:p>
      <w:pPr>
        <w:pStyle w:val="Heading1"/>
        <w:pageBreakBefore/>
      </w:pPr>
      <w:r>
        <w:t>4 Production responsibilities and approval</w:t>
      </w:r>
    </w:p>
    <w:p>
      <w:pPr>
        <w:pStyle w:val="Heading2"/>
      </w:pPr>
      <w:r>
        <w:rPr>
          <w:color w:val="8614E8"/>
        </w:rPr>
        <w:t>4 Creator materials and cooperation</w:t>
      </w:r>
    </w:p>
    <w:p>
      <w:r>
        <w:rPr>
          <w:b w:val="0"/>
        </w:rPr>
        <w:t>The Creator supplies lawful access to original videos, audio, scripts, brand guidance, preferred translations, channel permissions and, where needed, editable project files, fonts and licensed assets. The Creator arranges its editor’s participation in Core Sessions and responds to requests within the Annex A review window. Third-party licences must permit the intended localized use.</w:t>
      </w:r>
    </w:p>
    <w:p>
      <w:r>
        <w:rPr>
          <w:b w:val="0"/>
        </w:rPr>
        <w:t>A video enters production only after the Agency confirms that its materials, language, visual inventory, consent and schedule are complete. The parties maintain a shared production register recording source video, language, plan, deliverables, approvals, publication URL and any exceptional scope or attribution agreed for that item.</w:t>
      </w:r>
    </w:p>
    <w:p>
      <w:pPr>
        <w:pStyle w:val="Heading2"/>
      </w:pPr>
      <w:r>
        <w:rPr>
          <w:color w:val="8614E8"/>
        </w:rPr>
        <w:t>4 Quality and revisions</w:t>
      </w:r>
    </w:p>
    <w:p>
      <w:r>
        <w:rPr>
          <w:b w:val="0"/>
        </w:rPr>
        <w:t>The Agency delivers a review copy before publication. Review addresses meaning and terminology, voice identity and pronunciation, audio intelligibility, lip sync where applicable, on-screen text accuracy, visual integration and the agreed technical export format. There is no promise of identical performance to a named third-party product.</w:t>
      </w:r>
    </w:p>
    <w:p>
      <w:r>
        <w:rPr>
          <w:b w:val="0"/>
        </w:rPr>
        <w:t>PROPOSED: two consolidated rounds of preference revisions per deliverable, within the approved script and visual brief. A round is one combined list of requested changes. Changes to the source video, selected language or approved brief are new scope and need a revised schedule and, if applicable, a written quote.</w:t>
      </w:r>
    </w:p>
    <w:p>
      <w:r>
        <w:rPr>
          <w:b w:val="0"/>
        </w:rPr>
        <w:t>Agency errors or failures to meet the approved brief are corrected without consuming preference revision rounds or generating an extra fee. The Creator should identify visible issues promptly; approval does not waive rights concerning hidden defects or mandatory legal rights. Material Agency errors discovered after publication require prompt correction and, where appropriate, temporary removal.</w:t>
      </w:r>
    </w:p>
    <w:p>
      <w:pPr>
        <w:pStyle w:val="Heading2"/>
      </w:pPr>
      <w:r>
        <w:rPr>
          <w:color w:val="8614E8"/>
        </w:rPr>
        <w:t>4 Approval and delays</w:t>
      </w:r>
    </w:p>
    <w:p>
      <w:r>
        <w:rPr>
          <w:b w:val="0"/>
        </w:rPr>
        <w:t>PROPOSED: the Creator has five business days to approve a review copy or provide consolidated comments. Silence is not approval. No video or material change is published without written approval by the named contact, or a specific written standing publishing instruction for already approved content.</w:t>
      </w:r>
    </w:p>
    <w:p>
      <w:r>
        <w:rPr>
          <w:b w:val="0"/>
        </w:rPr>
        <w:t>PROPOSED: first review delivery is targeted within seven business days after complete intake and the agreed production start; revisions within three business days after consolidated feedback. Annex A can set a different accepted schedule for complex items. Business days exclude weekends and public holidays at the Agency’s stated Spanish location.</w:t>
      </w:r>
    </w:p>
    <w:p>
      <w:r>
        <w:rPr>
          <w:b w:val="0"/>
        </w:rPr>
        <w:t>Missing files, permissions, editor attendance or Creator feedback pause the affected deadline. The Agency provides a revised delivery date after the blockage clears. Both parties promptly report anticipated delays. No extra fee or additional output is inferred from a delay. Agency-caused unfinished work remains due or is rescheduled by written agreement; unused Creator-delayed capacity follows Annex A.</w:t>
      </w:r>
    </w:p>
    <w:p>
      <w:pPr>
        <w:pStyle w:val="Heading1"/>
        <w:pageBreakBefore/>
      </w:pPr>
      <w:r>
        <w:t>5 Revenue calculation and payment</w:t>
      </w:r>
    </w:p>
    <w:p>
      <w:pPr>
        <w:pStyle w:val="Heading2"/>
      </w:pPr>
      <w:r>
        <w:rPr>
          <w:color w:val="8614E8"/>
        </w:rPr>
        <w:t>5 Net Revenue</w:t>
      </w:r>
    </w:p>
    <w:p>
      <w:r>
        <w:rPr>
          <w:b w:val="0"/>
        </w:rPr>
        <w:t>Covered Gross Revenue means amounts actually received by or credited and withdrawable to the Creator or an authorized payee from the localized channels listed in Annex A: advertising, platform Premium allocation, Shorts revenue, memberships, tips and paid features. It also includes sponsorship and affiliate receipts specifically attributable to the covered localized content.</w:t>
      </w:r>
    </w:p>
    <w:p>
      <w:r>
        <w:rPr>
          <w:b w:val="0"/>
        </w:rPr>
        <w:t>Original-channel revenue, unrelated sponsorships, unrelated sales and other businesses are excluded. For bundled sponsorships, shared affiliate links or income spanning several channels, the parties record a reasonable allocation in writing before the campaign. No allocation may be unilaterally invented. Unallocated amounts are disclosed and resolved in the monthly reconciliation; undisputed sums remain payable.</w:t>
      </w:r>
    </w:p>
    <w:p>
      <w:r>
        <w:rPr>
          <w:b w:val="0"/>
        </w:rPr>
        <w:t>Net Revenue equals Covered Gross Revenue minus only: (a) refunds and chargebacks relating to that revenue; (b) indirect transaction taxes collected for payment to authorities; and (c) documented platform or payment-processing charges on that revenue, only if not already deducted in the reported receipts. The same deduction is never applied twice.</w:t>
      </w:r>
    </w:p>
    <w:p>
      <w:r>
        <w:rPr>
          <w:b w:val="0"/>
        </w:rPr>
        <w:t>Neither party may deduct staff, editing, AI, GPU, software, marketing, travel, overhead, equipment, its own income tax or other operating costs. Additional pass-through expenditure requires written approval specifying whether it is separately payable; it is not automatically deductible from Net Revenue. Agency revenue share is not itself a deduction. No cross-channel loss offset applies without written agreement.</w:t>
      </w:r>
    </w:p>
    <w:p>
      <w:pPr>
        <w:pStyle w:val="Heading2"/>
      </w:pPr>
      <w:r>
        <w:rPr>
          <w:color w:val="8614E8"/>
        </w:rPr>
        <w:t>5 Reporting and settlement</w:t>
      </w:r>
    </w:p>
    <w:p>
      <w:r>
        <w:rPr>
          <w:b w:val="0"/>
        </w:rPr>
        <w:t>PROPOSED: by the tenth calendar day after each month, the Creator provides channel-level revenue statements, payout records and attributed sponsorship or affiliate receipts. The Agency provides or reconciles its monthly calculation and issues the required invoice. Payment is due within fifteen calendar days of receipt of the invoice and supporting calculation. The settlement currency is EUR; foreign receipts use the actual documented conversion rate or a mutually agreed published rate.</w:t>
      </w:r>
    </w:p>
    <w:p>
      <w:r>
        <w:rPr>
          <w:b w:val="0"/>
        </w:rPr>
        <w:t>Applicable invoice taxes are handled separately as legally required. A disputed item must be identified with reasons within ten business days; undisputed amounts remain due. Silence does not waive an evidenced accounting error. The parties first reconcile estimates against actual receipts and correct refunds or adjustments in the next statement.</w:t>
      </w:r>
    </w:p>
    <w:p>
      <w:r>
        <w:rPr>
          <w:b w:val="0"/>
        </w:rPr>
        <w:t>The Creator grants appropriate read-only analytics access or equivalent verifiable exports. PROPOSED: relevant financial records are retained for at least twenty-four months, without shortening a longer legal duty. On ten business days’ notice, the Agency may request one confidential annual verification by an independent professional at its cost, limited to covered revenue. Neither party receives passwords or unrelated financial data.</w:t>
      </w:r>
    </w:p>
    <w:p>
      <w:r>
        <w:rPr>
          <w:b w:val="0"/>
        </w:rPr>
        <w:t>The Creator or its authorized payee receives platform payouts and pays the Agency by bank transfer or another documented method. This Agreement does not assume YouTube provides an automatic split. Receipts are not counted twice, including delayed payments described in clause 6.</w:t>
      </w:r>
    </w:p>
    <w:p>
      <w:pPr>
        <w:pStyle w:val="Heading1"/>
        <w:pageBreakBefore/>
      </w:pPr>
      <w:r>
        <w:t>5 Deposit and 6 ending the collaboration</w:t>
      </w:r>
    </w:p>
    <w:p>
      <w:pPr>
        <w:pStyle w:val="Heading2"/>
      </w:pPr>
      <w:r>
        <w:rPr>
          <w:color w:val="8614E8"/>
        </w:rPr>
        <w:t>5 Refundable security deposit</w:t>
      </w:r>
    </w:p>
    <w:p>
      <w:r>
        <w:rPr>
          <w:b w:val="0"/>
        </w:rPr>
        <w:t>The EUR 500 deposit secures only due, documented financial obligations under this Agreement. It is not income, an onboarding fee, a minimum payment, or a payment for the Agency’s initial production effort. The Agency records it separately and does not treat it as earned revenue.</w:t>
      </w:r>
    </w:p>
    <w:p>
      <w:r>
        <w:t>No later than three calendar months after the effective termination date (not the notice date or deposit payment date), the Agency returns the deposit balance and provides an itemized statement of any proposed deduction. Deductions are limited to unpaid, due revenue share and separately approved third-party expenses expressly payable by the Creator. No deduction may be made merely because monetization failed, the Creator lawfully terminated, or the Agency incurred ordinary production costs.</w:t>
      </w:r>
    </w:p>
    <w:p>
      <w:r>
        <w:rPr>
          <w:b w:val="0"/>
        </w:rPr>
        <w:t>Any disputed deduction must be supported by records. The undisputed balance is returned on time. A disputed sum is not retained beyond thirty calendar days after the statement unless the Creator agrees in writing or a competent authority directs otherwise; refund does not prevent a separate lawful claim. The deposit is not held throughout the entire post-termination revenue period. No deposit replenishment or extra deposit is automatic.</w:t>
      </w:r>
    </w:p>
    <w:p>
      <w:pPr>
        <w:pStyle w:val="Heading2"/>
      </w:pPr>
      <w:r>
        <w:rPr>
          <w:color w:val="8614E8"/>
        </w:rPr>
        <w:t>6 Term and termination</w:t>
      </w:r>
    </w:p>
    <w:p>
      <w:r>
        <w:rPr>
          <w:b w:val="0"/>
        </w:rPr>
        <w:t>The Agreement starts on the effective date and continues month to month. Either party may terminate with thirty calendar days’ written notice to the designated email. A party may terminate for material breach not cured within ten business days after detailed written notice, or immediately where a serious unlawful use, security incident or breach cannot reasonably be cured.</w:t>
      </w:r>
    </w:p>
    <w:p>
      <w:r>
        <w:rPr>
          <w:b w:val="0"/>
        </w:rPr>
        <w:t>PROPOSED: overdue undisputed payment permits suspension of new production only after written notice and five business days to remedy. A suspension does not permit taking ownership of a channel, withholding the Creator’s account access, deleting published work or diverting revenue.</w:t>
      </w:r>
    </w:p>
    <w:p>
      <w:pPr>
        <w:pStyle w:val="Heading2"/>
      </w:pPr>
      <w:r>
        <w:rPr>
          <w:color w:val="8614E8"/>
        </w:rPr>
        <w:t>6 Proposed limited revenue tail</w:t>
      </w:r>
    </w:p>
    <w:p>
      <w:r>
        <w:rPr>
          <w:b w:val="0"/>
        </w:rPr>
        <w:t>PROPOSED FOR EXPRESS ACCEPTANCE: replace the original sixty-day provision with six calendar months after termination. During that period only, the Agency receives the applicable 30% or 50% share of Net Revenue generated by localized deliverables produced by the Agency, approved and published before termination, and identified in the closing production register. The plan in force when each item was approved determines its percentage.</w:t>
      </w:r>
    </w:p>
    <w:p>
      <w:r>
        <w:rPr>
          <w:b w:val="0"/>
        </w:rPr>
        <w:t>The tail excludes the original channel, new videos produced after termination by the Creator or a replacement agency, and unrelated channel income. Memberships, bundled campaigns and other mixed income require a written allocation to eligible deliverables; no blanket claim to the whole channel applies. If the Creator terminates for the Agency’s material uncured breach, no share accrues for post-termination performance; sums already earned remain due.</w:t>
      </w:r>
    </w:p>
    <w:p>
      <w:r>
        <w:rPr>
          <w:b w:val="0"/>
        </w:rPr>
        <w:t>Revenue is attributed to when it was generated: delayed receipts for eligible pre-termination or tail-period activity remain reportable and payable once received; activity after the six-month period is excluded. No fee is paid twice and no separate early-exit charge or perpetual royalty is created. The tail requires the specific Annex A acceptance and both signatures; without it, the Agreement is not ready for execution.</w:t>
      </w:r>
    </w:p>
    <w:p>
      <w:pPr>
        <w:pStyle w:val="Heading1"/>
        <w:pageBreakBefore/>
        <w:spacing w:after="100" w:line="240" w:lineRule="auto"/>
      </w:pPr>
      <w:r>
        <w:t>7 Channels content rights and voice consent</w:t>
      </w:r>
    </w:p>
    <w:p>
      <w:pPr>
        <w:pStyle w:val="Heading2"/>
        <w:spacing w:after="100" w:line="240" w:lineRule="auto"/>
      </w:pPr>
      <w:r>
        <w:rPr>
          <w:color w:val="8614E8"/>
        </w:rPr>
        <w:t>7 Ownership and permissions</w:t>
      </w:r>
    </w:p>
    <w:p>
      <w:pPr>
        <w:spacing w:after="100" w:line="240" w:lineRule="auto"/>
      </w:pPr>
      <w:r>
        <w:rPr>
          <w:b w:val="0"/>
        </w:rPr>
        <w:t>The Creator owns and controls all original and localized channels, channel accounts, audience relationships and payment accounts. The Creator remains the primary owner and appoints the Agency using revocable role-based permissions limited to the services. Recovery details and two-factor authentication remain under the Creator’s control. No password sharing is required.</w:t>
      </w:r>
    </w:p>
    <w:p>
      <w:pPr>
        <w:spacing w:after="100" w:line="240" w:lineRule="auto"/>
      </w:pPr>
      <w:r>
        <w:rPr>
          <w:b w:val="0"/>
        </w:rPr>
        <w:t>The Creator retains all original-content rights and grants the Agency a non-exclusive licence to reproduce, translate, adapt, edit, dub, synchronize, publish and communicate only the approved source material, in the named languages and on the Annex A channels and platforms. The territorial scope is worldwide internet availability for those platforms. The operational licence lasts only for the service term and agreed handover; it is not a blanket licence over future works.</w:t>
      </w:r>
    </w:p>
    <w:p>
      <w:pPr>
        <w:spacing w:after="100" w:line="240" w:lineRule="auto"/>
      </w:pPr>
      <w:r>
        <w:rPr>
          <w:b w:val="0"/>
        </w:rPr>
        <w:t>For rights owned by the Agency in bespoke localized deliverables, the Agency assigns to the Creator the rights to reproduce, distribute, communicate to the public, translate and adapt them, worldwide for the lawful duration of those transferable rights, within the approved channels and other Creator-owned online channels using the same approved languages. Consideration is the agreed revenue share. The assignment takes effect on written delivery acceptance and survives termination; unpaid sums remain a debt and do not authorize channel seizure.</w:t>
      </w:r>
    </w:p>
    <w:p>
      <w:pPr>
        <w:spacing w:after="100" w:line="240" w:lineRule="auto"/>
      </w:pPr>
      <w:r>
        <w:rPr>
          <w:b w:val="0"/>
        </w:rPr>
        <w:t>The Agency retains its pre-existing software, workflows, general templates and internal systems. Where these are embedded in a deliverable, it grants the Creator the continuing licence necessary to use that deliverable. Third-party components remain subject to disclosed licences. No Agency internal tool, transferable voice model or raw system credential is promised unless expressly listed. Rights that cannot legally be transferred remain unaffected.</w:t>
      </w:r>
    </w:p>
    <w:p>
      <w:pPr>
        <w:pStyle w:val="Heading2"/>
        <w:spacing w:after="100" w:line="240" w:lineRule="auto"/>
      </w:pPr>
      <w:r>
        <w:rPr>
          <w:color w:val="8614E8"/>
        </w:rPr>
        <w:t>7 Voice likeness and AI authorization</w:t>
      </w:r>
    </w:p>
    <w:p>
      <w:pPr>
        <w:spacing w:after="100" w:line="240" w:lineRule="auto"/>
      </w:pPr>
      <w:r>
        <w:t>The Creator expressly authorizes replication of their own voice, English dubbing and related lip synchronization for approved videos, by signing the separate Annex A authorization. The Creator must identify all other speakers and provide their signed authorizations covering these uses before production, or evidence of a representative’s authority. Ownership of a video alone does not authorize cloning another person’s voice. The Agency verifies that permissions cover the intended use; without them, the parties agree a licensed alternative voice or omit the affected service.</w:t>
      </w:r>
    </w:p>
    <w:p>
      <w:pPr>
        <w:spacing w:after="100" w:line="240" w:lineRule="auto"/>
      </w:pPr>
      <w:r>
        <w:rPr>
          <w:b w:val="0"/>
        </w:rPr>
        <w:t>The authorization is limited to approved localization. It does not permit unrelated endorsements, new statements outside the approved meaning, resale of the identity or voice model, or use of the materials to train a general-purpose model. Selected processors and any permitted retention must be disclosed before upload. No portfolio use of the Creator’s brand or content is granted without separate written permission.</w:t>
      </w:r>
    </w:p>
    <w:p>
      <w:pPr>
        <w:spacing w:after="100" w:line="240" w:lineRule="auto"/>
      </w:pPr>
      <w:r>
        <w:rPr>
          <w:b w:val="0"/>
        </w:rPr>
        <w:t>Any lawful withdrawal of voice or likeness consent must be respected. The Agency stops new affected generation on notice and coordinates removal or restriction of existing material where required. Any consequences are resolved under applicable law; this Agreement imposes no automatic penalty for withdrawal.</w:t>
      </w:r>
    </w:p>
    <w:p>
      <w:pPr>
        <w:pStyle w:val="Heading2"/>
        <w:spacing w:after="100" w:line="240" w:lineRule="auto"/>
      </w:pPr>
      <w:r>
        <w:rPr>
          <w:color w:val="8614E8"/>
        </w:rPr>
        <w:t>7 Handover</w:t>
      </w:r>
    </w:p>
    <w:p>
      <w:pPr>
        <w:spacing w:after="100" w:line="240" w:lineRule="auto"/>
      </w:pPr>
      <w:r>
        <w:rPr>
          <w:b w:val="0"/>
        </w:rPr>
        <w:t>PROPOSED: within ten business days after termination, the Agency supplies the publication register, approved exports, agreed editable assets and last available report, transfers any outstanding channel administration, and removes publishing access. Limited analytics access or exports may continue only for revenue reconciliation. Materials are returned or deleted within thirty calendar days, except records legally required or needed for a documented dispute; restricted backups expire under a disclosed retention schedule.</w:t>
      </w:r>
    </w:p>
    <w:p>
      <w:pPr>
        <w:pStyle w:val="Heading1"/>
        <w:pageBreakBefore/>
      </w:pPr>
      <w:r>
        <w:t>8 Confidentiality and 9 general terms</w:t>
      </w:r>
    </w:p>
    <w:p>
      <w:pPr>
        <w:pStyle w:val="Heading2"/>
      </w:pPr>
      <w:r>
        <w:rPr>
          <w:color w:val="8614E8"/>
        </w:rPr>
        <w:t>8 Confidentiality and personal data</w:t>
      </w:r>
    </w:p>
    <w:p>
      <w:r>
        <w:rPr>
          <w:b w:val="0"/>
        </w:rPr>
        <w:t>Both parties protect non-public commercial, technical, financial and personal information, use it only for this collaboration and disclose it only to people who need it and are bound by equivalent obligations. Exceptions are information lawfully public, independently developed or lawfully obtained, and legally required disclosure with notice where permitted. These obligations survive termination while the information remains confidential.</w:t>
      </w:r>
    </w:p>
    <w:p>
      <w:r>
        <w:rPr>
          <w:b w:val="0"/>
        </w:rPr>
        <w:t>If the Agency processes personal data on the Creator’s behalf, the parties must complete a separate data processing agreement before such access, addressing instructions, purpose, duration, data types, security, approved subprocessors, international transfers where applicable, assistance, incident reporting and deletion or return. This clause alone is not a substitute for that agreement. Each party remains responsible for processing it independently determines.</w:t>
      </w:r>
    </w:p>
    <w:p>
      <w:pPr>
        <w:pStyle w:val="Heading2"/>
      </w:pPr>
      <w:r>
        <w:rPr>
          <w:color w:val="8614E8"/>
        </w:rPr>
        <w:t>9 Responsibility and limitations of the service</w:t>
      </w:r>
    </w:p>
    <w:p>
      <w:r>
        <w:rPr>
          <w:b w:val="0"/>
        </w:rPr>
        <w:t>The Creator is responsible for rights and permissions in supplied content; the Agency is responsible for its own execution, unauthorized changes and use of tools or assets. Each party promptly reports rights complaints, platform warnings or security incidents and cooperates in a proportionate response. Neither party admits liability or settles a claim on the other’s behalf without authorization.</w:t>
      </w:r>
    </w:p>
    <w:p>
      <w:r>
        <w:rPr>
          <w:b w:val="0"/>
        </w:rPr>
        <w:t>Revenue share is payment for the agreed work, not a guarantee of revenue. No monetization eligibility, audience growth, RPM, view count or platform approval is guaranteed. The Agency uses reasonable professional care and complies with applicable platform rules. External platform outages, reporting delays or feature changes require prompt notice and an agreed schedule or scope adjustment; they do not excuse the Agency’s own breach.</w:t>
      </w:r>
    </w:p>
    <w:p>
      <w:r>
        <w:rPr>
          <w:b w:val="0"/>
        </w:rPr>
        <w:t>Each party remains responsible for its attributable breaches under applicable law. No limitation excludes liability that cannot legally be excluded. Extra work and third-party expenditure require written approval stating price, scope and payment treatment; a quotation is not acceptance.</w:t>
      </w:r>
    </w:p>
    <w:p>
      <w:pPr>
        <w:pStyle w:val="Heading2"/>
      </w:pPr>
      <w:r>
        <w:rPr>
          <w:color w:val="8614E8"/>
        </w:rPr>
        <w:t>9 Notices law and changes</w:t>
      </w:r>
    </w:p>
    <w:p>
      <w:r>
        <w:rPr>
          <w:b w:val="0"/>
        </w:rPr>
        <w:t>Notices are sent to the emails identified on page 1. Ordinary production approvals may be given by the authorized contact named in Annex A. Changes to revenue share, capacity, languages, ownership or termination terms require an amendment accepted by both parties. A plan change is prospective, with treatment of existing videos recorded in the production register.</w:t>
      </w:r>
    </w:p>
    <w:p>
      <w:r>
        <w:rPr>
          <w:b w:val="0"/>
        </w:rPr>
        <w:t>Spanish law governs, subject to mandatory applicable rules. The parties first attempt good-faith resolution for fifteen business days after a written dispute notice; urgent relief remains available. Failing resolution, jurisdiction is determined by applicable procedural law unless the parties agree a valid written jurisdiction clause. No unspecified court is deemed selected.</w:t>
      </w:r>
    </w:p>
    <w:p>
      <w:r>
        <w:rPr>
          <w:b w:val="0"/>
        </w:rPr>
        <w:t>This Agreement and the completed Annex A constitute the parties’ agreement. A specific signed amendment prevails for its subject; otherwise Annex A sets commercial quantities and the main clauses govern. An invalid provision does not invalidate the remainder where it can lawfully stand independently. No partnership, employment or authority to bind the other party is created.</w:t>
      </w:r>
    </w:p>
    <w:p>
      <w:pPr>
        <w:pStyle w:val="Heading1"/>
        <w:pageBreakBefore/>
      </w:pPr>
      <w:r>
        <w:t>Annex A Scope and express acceptance</w:t>
      </w:r>
    </w:p>
    <w:p>
      <w:r>
        <w:rPr>
          <w:b/>
        </w:rPr>
        <w:t>Complete all fields. The figures below are PROPOSED starting limits, not unlimited commitments. Replace them before signing if production capacity or the selected content requires different terms.</w:t>
      </w:r>
    </w:p>
    <w:p>
      <w:r>
        <w:rPr>
          <w:b w:val="0"/>
        </w:rPr>
        <w:t>Plan selected: [Core 30% / Premium 50% — select one]</w:t>
        <w:br/>
        <w:t>Original channel excluded from revenue share: [URL]</w:t>
        <w:br/>
        <w:t>Localized channel URLs or identifiers: [complete]</w:t>
        <w:br/>
        <w:t>Selected languages: [complete]   Platforms: [complete]</w:t>
        <w:br/>
        <w:t>Publishing and review contact: [name and email]</w:t>
        <w:br/>
        <w:t>Intake start date and first publication schedule: [complete]</w:t>
      </w:r>
    </w:p>
    <w:tbl>
      <w:tblPr>
        <w:tblW w:type="auto" w:w="0"/>
        <w:tblLayout w:type="fixed"/>
        <w:tblLook w:firstColumn="1" w:firstRow="1" w:lastColumn="0" w:lastRow="0" w:noHBand="0" w:noVBand="1" w:val="04A0"/>
      </w:tblPr>
      <w:tblGrid>
        <w:gridCol w:w="3744"/>
        <w:gridCol w:w="6192"/>
      </w:tblGrid>
      <w:tr>
        <w:trPr>
          <w:cantSplit/>
          <w:cantSplit/>
        </w:trPr>
        <w:tc>
          <w:tcPr>
            <w:tcW w:type="dxa" w:w="4997"/>
            <w:tcBorders>
              <w:top w:val="single" w:sz="4" w:color="D9D9D9"/>
              <w:left w:val="single" w:sz="4" w:color="D9D9D9"/>
              <w:bottom w:val="single" w:sz="4" w:color="D9D9D9"/>
              <w:right w:val="single" w:sz="4" w:color="D9D9D9"/>
            </w:tcBorders>
            <w:shd w:fill="8614E8"/>
          </w:tcPr>
          <w:p>
            <w:pPr>
              <w:spacing w:after="80" w:before="80"/>
            </w:pPr>
            <w:r>
              <w:rPr>
                <w:rFonts w:ascii="Nunito" w:hAnsi="Nunito"/>
                <w:b/>
                <w:color w:val="FFFFFF"/>
                <w:sz w:val="19"/>
              </w:rPr>
              <w:t>Scope item</w:t>
            </w:r>
          </w:p>
        </w:tc>
        <w:tc>
          <w:tcPr>
            <w:tcW w:type="dxa" w:w="4997"/>
            <w:tcBorders>
              <w:top w:val="single" w:sz="4" w:color="D9D9D9"/>
              <w:left w:val="single" w:sz="4" w:color="D9D9D9"/>
              <w:bottom w:val="single" w:sz="4" w:color="D9D9D9"/>
              <w:right w:val="single" w:sz="4" w:color="D9D9D9"/>
            </w:tcBorders>
            <w:shd w:fill="8614E8"/>
          </w:tcPr>
          <w:p>
            <w:pPr>
              <w:spacing w:after="80" w:before="80"/>
            </w:pPr>
            <w:r>
              <w:rPr>
                <w:rFonts w:ascii="Nunito" w:hAnsi="Nunito"/>
                <w:b/>
                <w:color w:val="FFFFFF"/>
                <w:sz w:val="19"/>
              </w:rPr>
              <w:t>Proposed limit per selected language</w:t>
            </w:r>
          </w:p>
        </w:tc>
      </w:tr>
      <w:tr>
        <w:trPr>
          <w:cantSplit/>
          <w:cantSplit/>
        </w:trPr>
        <w:tc>
          <w:tcPr>
            <w:tcW w:type="dxa" w:w="3744"/>
            <w:tcBorders>
              <w:top w:val="single" w:sz="4" w:color="D9D9D9"/>
              <w:left w:val="single" w:sz="4" w:color="D9D9D9"/>
              <w:bottom w:val="single" w:sz="4" w:color="D9D9D9"/>
              <w:right w:val="single" w:sz="4" w:color="D9D9D9"/>
            </w:tcBorders>
            <w:shd w:fill="FFFFFF"/>
          </w:tcPr>
          <w:p>
            <w:pPr>
              <w:spacing w:after="80" w:before="80"/>
            </w:pPr>
            <w:r>
              <w:rPr>
                <w:b w:val="0"/>
                <w:sz w:val="19"/>
              </w:rPr>
              <w:t>Long videos each calendar month</w:t>
            </w:r>
          </w:p>
        </w:tc>
        <w:tc>
          <w:tcPr>
            <w:tcW w:type="dxa" w:w="6192"/>
            <w:tcBorders>
              <w:top w:val="single" w:sz="4" w:color="D9D9D9"/>
              <w:left w:val="single" w:sz="4" w:color="D9D9D9"/>
              <w:bottom w:val="single" w:sz="4" w:color="D9D9D9"/>
              <w:right w:val="single" w:sz="4" w:color="D9D9D9"/>
            </w:tcBorders>
            <w:shd w:fill="FFFFFF"/>
          </w:tcPr>
          <w:p>
            <w:pPr>
              <w:spacing w:after="80" w:before="80"/>
            </w:pPr>
            <w:r>
              <w:rPr>
                <w:b w:val="0"/>
                <w:sz w:val="19"/>
              </w:rPr>
              <w:t>Up to 4 videos AND 60 total source minutes; both limits apply. Maximum 20 minutes per video.</w:t>
            </w:r>
          </w:p>
        </w:tc>
      </w:tr>
      <w:tr>
        <w:trPr>
          <w:cantSplit/>
          <w:cantSplit/>
        </w:trPr>
        <w:tc>
          <w:tcPr>
            <w:tcW w:type="dxa" w:w="3744"/>
            <w:tcBorders>
              <w:top w:val="single" w:sz="4" w:color="D9D9D9"/>
              <w:left w:val="single" w:sz="4" w:color="D9D9D9"/>
              <w:bottom w:val="single" w:sz="4" w:color="D9D9D9"/>
              <w:right w:val="single" w:sz="4" w:color="D9D9D9"/>
            </w:tcBorders>
            <w:shd w:fill="F8F5FC"/>
          </w:tcPr>
          <w:p>
            <w:pPr>
              <w:spacing w:after="80" w:before="80"/>
            </w:pPr>
            <w:r>
              <w:rPr>
                <w:b w:val="0"/>
                <w:sz w:val="19"/>
              </w:rPr>
              <w:t>Premium Shorts</w:t>
            </w:r>
          </w:p>
        </w:tc>
        <w:tc>
          <w:tcPr>
            <w:tcW w:type="dxa" w:w="6192"/>
            <w:tcBorders>
              <w:top w:val="single" w:sz="4" w:color="D9D9D9"/>
              <w:left w:val="single" w:sz="4" w:color="D9D9D9"/>
              <w:bottom w:val="single" w:sz="4" w:color="D9D9D9"/>
              <w:right w:val="single" w:sz="4" w:color="D9D9D9"/>
            </w:tcBorders>
            <w:shd w:fill="F8F5FC"/>
          </w:tcPr>
          <w:p>
            <w:pPr>
              <w:spacing w:after="80" w:before="80"/>
            </w:pPr>
            <w:r>
              <w:rPr>
                <w:b w:val="0"/>
                <w:sz w:val="19"/>
              </w:rPr>
              <w:t>Up to 8 Shorts of up to 60 seconds each, from supplied content; separate from long-video minutes.</w:t>
            </w:r>
          </w:p>
        </w:tc>
      </w:tr>
      <w:tr>
        <w:trPr>
          <w:cantSplit/>
          <w:cantSplit/>
        </w:trPr>
        <w:tc>
          <w:tcPr>
            <w:tcW w:type="dxa" w:w="3744"/>
            <w:tcBorders>
              <w:top w:val="single" w:sz="4" w:color="D9D9D9"/>
              <w:left w:val="single" w:sz="4" w:color="D9D9D9"/>
              <w:bottom w:val="single" w:sz="4" w:color="D9D9D9"/>
              <w:right w:val="single" w:sz="4" w:color="D9D9D9"/>
            </w:tcBorders>
            <w:shd w:fill="FFFFFF"/>
          </w:tcPr>
          <w:p>
            <w:pPr>
              <w:spacing w:after="80" w:before="80"/>
            </w:pPr>
            <w:r>
              <w:rPr>
                <w:b w:val="0"/>
                <w:sz w:val="19"/>
              </w:rPr>
              <w:t>Standard visual replacement</w:t>
            </w:r>
          </w:p>
        </w:tc>
        <w:tc>
          <w:tcPr>
            <w:tcW w:type="dxa" w:w="6192"/>
            <w:tcBorders>
              <w:top w:val="single" w:sz="4" w:color="D9D9D9"/>
              <w:left w:val="single" w:sz="4" w:color="D9D9D9"/>
              <w:bottom w:val="single" w:sz="4" w:color="D9D9D9"/>
              <w:right w:val="single" w:sz="4" w:color="D9D9D9"/>
            </w:tcBorders>
            <w:shd w:fill="FFFFFF"/>
          </w:tcPr>
          <w:p>
            <w:pPr>
              <w:spacing w:after="80" w:before="80"/>
            </w:pPr>
            <w:r>
              <w:rPr>
                <w:b w:val="0"/>
                <w:sz w:val="19"/>
              </w:rPr>
              <w:t>Up to 40 text elements per long video and 10 per Short. One element is one text area in one uninterrupted shot; a new shot, text change or separately tracked area counts again.</w:t>
            </w:r>
          </w:p>
        </w:tc>
      </w:tr>
      <w:tr>
        <w:trPr>
          <w:cantSplit/>
          <w:cantSplit/>
        </w:trPr>
        <w:tc>
          <w:tcPr>
            <w:tcW w:type="dxa" w:w="3744"/>
            <w:tcBorders>
              <w:top w:val="single" w:sz="4" w:color="D9D9D9"/>
              <w:left w:val="single" w:sz="4" w:color="D9D9D9"/>
              <w:bottom w:val="single" w:sz="4" w:color="D9D9D9"/>
              <w:right w:val="single" w:sz="4" w:color="D9D9D9"/>
            </w:tcBorders>
            <w:shd w:fill="F8F5FC"/>
          </w:tcPr>
          <w:p>
            <w:pPr>
              <w:spacing w:after="80" w:before="80"/>
            </w:pPr>
            <w:r>
              <w:rPr>
                <w:b w:val="0"/>
                <w:sz w:val="19"/>
              </w:rPr>
              <w:t>Core Session and visual review</w:t>
            </w:r>
          </w:p>
        </w:tc>
        <w:tc>
          <w:tcPr>
            <w:tcW w:type="dxa" w:w="6192"/>
            <w:tcBorders>
              <w:top w:val="single" w:sz="4" w:color="D9D9D9"/>
              <w:left w:val="single" w:sz="4" w:color="D9D9D9"/>
              <w:bottom w:val="single" w:sz="4" w:color="D9D9D9"/>
              <w:right w:val="single" w:sz="4" w:color="D9D9D9"/>
            </w:tcBorders>
            <w:shd w:fill="F8F5FC"/>
          </w:tcPr>
          <w:p>
            <w:pPr>
              <w:spacing w:after="80" w:before="80"/>
            </w:pPr>
            <w:r>
              <w:rPr>
                <w:b w:val="0"/>
                <w:sz w:val="19"/>
              </w:rPr>
              <w:t>One session of up to 60 minutes per month, plus review of the agreed final exports. Creator editor executes changes.</w:t>
            </w:r>
          </w:p>
        </w:tc>
      </w:tr>
      <w:tr>
        <w:trPr>
          <w:cantSplit/>
          <w:cantSplit/>
        </w:trPr>
        <w:tc>
          <w:tcPr>
            <w:tcW w:type="dxa" w:w="3744"/>
            <w:tcBorders>
              <w:top w:val="single" w:sz="4" w:color="D9D9D9"/>
              <w:left w:val="single" w:sz="4" w:color="D9D9D9"/>
              <w:bottom w:val="single" w:sz="4" w:color="D9D9D9"/>
              <w:right w:val="single" w:sz="4" w:color="D9D9D9"/>
            </w:tcBorders>
            <w:shd w:fill="FFFFFF"/>
          </w:tcPr>
          <w:p>
            <w:pPr>
              <w:spacing w:after="80" w:before="80"/>
            </w:pPr>
            <w:r>
              <w:rPr>
                <w:b w:val="0"/>
                <w:sz w:val="19"/>
              </w:rPr>
              <w:t>Premium strategy and tests</w:t>
            </w:r>
          </w:p>
        </w:tc>
        <w:tc>
          <w:tcPr>
            <w:tcW w:type="dxa" w:w="6192"/>
            <w:tcBorders>
              <w:top w:val="single" w:sz="4" w:color="D9D9D9"/>
              <w:left w:val="single" w:sz="4" w:color="D9D9D9"/>
              <w:bottom w:val="single" w:sz="4" w:color="D9D9D9"/>
              <w:right w:val="single" w:sz="4" w:color="D9D9D9"/>
            </w:tcBorders>
            <w:shd w:fill="FFFFFF"/>
          </w:tcPr>
          <w:p>
            <w:pPr>
              <w:spacing w:after="80" w:before="80"/>
            </w:pPr>
            <w:r>
              <w:rPr>
                <w:b w:val="0"/>
                <w:sz w:val="19"/>
              </w:rPr>
              <w:t>One 45-minute strategy call, up to 4 community posts and 2 title or thumbnail test sets per month; up to 2 variants per set.</w:t>
            </w:r>
          </w:p>
        </w:tc>
      </w:tr>
      <w:tr>
        <w:trPr>
          <w:cantSplit/>
          <w:cantSplit/>
        </w:trPr>
        <w:tc>
          <w:tcPr>
            <w:tcW w:type="dxa" w:w="3744"/>
            <w:tcBorders>
              <w:top w:val="single" w:sz="4" w:color="D9D9D9"/>
              <w:left w:val="single" w:sz="4" w:color="D9D9D9"/>
              <w:bottom w:val="single" w:sz="4" w:color="D9D9D9"/>
              <w:right w:val="single" w:sz="4" w:color="D9D9D9"/>
            </w:tcBorders>
            <w:shd w:fill="F8F5FC"/>
          </w:tcPr>
          <w:p>
            <w:pPr>
              <w:spacing w:after="80" w:before="80"/>
            </w:pPr>
            <w:r>
              <w:rPr>
                <w:b w:val="0"/>
                <w:sz w:val="19"/>
              </w:rPr>
              <w:t>Community management</w:t>
            </w:r>
          </w:p>
        </w:tc>
        <w:tc>
          <w:tcPr>
            <w:tcW w:type="dxa" w:w="6192"/>
            <w:tcBorders>
              <w:top w:val="single" w:sz="4" w:color="D9D9D9"/>
              <w:left w:val="single" w:sz="4" w:color="D9D9D9"/>
              <w:bottom w:val="single" w:sz="4" w:color="D9D9D9"/>
              <w:right w:val="single" w:sz="4" w:color="D9D9D9"/>
            </w:tcBorders>
            <w:shd w:fill="F8F5FC"/>
          </w:tcPr>
          <w:p>
            <w:pPr>
              <w:spacing w:after="80" w:before="80"/>
            </w:pPr>
            <w:r>
              <w:rPr>
                <w:b w:val="0"/>
                <w:sz w:val="19"/>
              </w:rPr>
              <w:t>Up to 2 hours per week; no 24-hour monitoring or emergency support.</w:t>
            </w:r>
          </w:p>
        </w:tc>
      </w:tr>
      <w:tr>
        <w:trPr>
          <w:cantSplit/>
          <w:cantSplit/>
        </w:trPr>
        <w:tc>
          <w:tcPr>
            <w:tcW w:type="dxa" w:w="3744"/>
            <w:tcBorders>
              <w:top w:val="single" w:sz="4" w:color="D9D9D9"/>
              <w:left w:val="single" w:sz="4" w:color="D9D9D9"/>
              <w:bottom w:val="single" w:sz="4" w:color="D9D9D9"/>
              <w:right w:val="single" w:sz="4" w:color="D9D9D9"/>
            </w:tcBorders>
            <w:shd w:fill="FFFFFF"/>
          </w:tcPr>
          <w:p>
            <w:pPr>
              <w:spacing w:after="80" w:before="80"/>
            </w:pPr>
            <w:r>
              <w:rPr>
                <w:b w:val="0"/>
                <w:sz w:val="19"/>
              </w:rPr>
              <w:t>Revisions and review window</w:t>
            </w:r>
          </w:p>
        </w:tc>
        <w:tc>
          <w:tcPr>
            <w:tcW w:type="dxa" w:w="6192"/>
            <w:tcBorders>
              <w:top w:val="single" w:sz="4" w:color="D9D9D9"/>
              <w:left w:val="single" w:sz="4" w:color="D9D9D9"/>
              <w:bottom w:val="single" w:sz="4" w:color="D9D9D9"/>
              <w:right w:val="single" w:sz="4" w:color="D9D9D9"/>
            </w:tcBorders>
            <w:shd w:fill="FFFFFF"/>
          </w:tcPr>
          <w:p>
            <w:pPr>
              <w:spacing w:after="80" w:before="80"/>
            </w:pPr>
            <w:r>
              <w:rPr>
                <w:b w:val="0"/>
                <w:sz w:val="19"/>
              </w:rPr>
              <w:t>2 consolidated preference rounds; Creator response within 5 business days. Agency errors corrected separately.</w:t>
            </w:r>
          </w:p>
        </w:tc>
      </w:tr>
      <w:tr>
        <w:trPr>
          <w:cantSplit/>
          <w:cantSplit/>
        </w:trPr>
        <w:tc>
          <w:tcPr>
            <w:tcW w:type="dxa" w:w="3744"/>
            <w:tcBorders>
              <w:top w:val="single" w:sz="4" w:color="D9D9D9"/>
              <w:left w:val="single" w:sz="4" w:color="D9D9D9"/>
              <w:bottom w:val="single" w:sz="4" w:color="D9D9D9"/>
              <w:right w:val="single" w:sz="4" w:color="D9D9D9"/>
            </w:tcBorders>
            <w:shd w:fill="F8F5FC"/>
          </w:tcPr>
          <w:p>
            <w:pPr>
              <w:spacing w:after="80" w:before="80"/>
            </w:pPr>
            <w:r>
              <w:rPr>
                <w:b w:val="0"/>
                <w:sz w:val="19"/>
              </w:rPr>
              <w:t>Delivery targets</w:t>
            </w:r>
          </w:p>
        </w:tc>
        <w:tc>
          <w:tcPr>
            <w:tcW w:type="dxa" w:w="6192"/>
            <w:tcBorders>
              <w:top w:val="single" w:sz="4" w:color="D9D9D9"/>
              <w:left w:val="single" w:sz="4" w:color="D9D9D9"/>
              <w:bottom w:val="single" w:sz="4" w:color="D9D9D9"/>
              <w:right w:val="single" w:sz="4" w:color="D9D9D9"/>
            </w:tcBorders>
            <w:shd w:fill="F8F5FC"/>
          </w:tcPr>
          <w:p>
            <w:pPr>
              <w:spacing w:after="80" w:before="80"/>
            </w:pPr>
            <w:r>
              <w:rPr>
                <w:b w:val="0"/>
                <w:sz w:val="19"/>
              </w:rPr>
              <w:t>First review within 7 business days of complete intake and agreed start; revisions within 3 business days.</w:t>
            </w:r>
          </w:p>
        </w:tc>
      </w:tr>
      <w:tr>
        <w:trPr>
          <w:cantSplit/>
          <w:cantSplit/>
        </w:trPr>
        <w:tc>
          <w:tcPr>
            <w:tcW w:type="dxa" w:w="3744"/>
            <w:tcBorders>
              <w:top w:val="single" w:sz="4" w:color="D9D9D9"/>
              <w:left w:val="single" w:sz="4" w:color="D9D9D9"/>
              <w:bottom w:val="single" w:sz="4" w:color="D9D9D9"/>
              <w:right w:val="single" w:sz="4" w:color="D9D9D9"/>
            </w:tcBorders>
            <w:shd w:fill="FFFFFF"/>
          </w:tcPr>
          <w:p>
            <w:pPr>
              <w:spacing w:after="80" w:before="80"/>
            </w:pPr>
            <w:r>
              <w:rPr>
                <w:b w:val="0"/>
                <w:sz w:val="19"/>
              </w:rPr>
              <w:t>Unused capacity</w:t>
            </w:r>
          </w:p>
        </w:tc>
        <w:tc>
          <w:tcPr>
            <w:tcW w:type="dxa" w:w="6192"/>
            <w:tcBorders>
              <w:top w:val="single" w:sz="4" w:color="D9D9D9"/>
              <w:left w:val="single" w:sz="4" w:color="D9D9D9"/>
              <w:bottom w:val="single" w:sz="4" w:color="D9D9D9"/>
              <w:right w:val="single" w:sz="4" w:color="D9D9D9"/>
            </w:tcBorders>
            <w:shd w:fill="FFFFFF"/>
          </w:tcPr>
          <w:p>
            <w:pPr>
              <w:spacing w:after="80" w:before="80"/>
            </w:pPr>
            <w:r>
              <w:rPr>
                <w:b w:val="0"/>
                <w:sz w:val="19"/>
              </w:rPr>
              <w:t>No automatic carryover for Creator-delayed or unused slots. Agency-delayed accepted work remains due; rescheduling in writing.</w:t>
            </w:r>
          </w:p>
        </w:tc>
      </w:tr>
    </w:tbl>
    <w:p>
      <w:r>
        <w:rPr>
          <w:b w:val="0"/>
        </w:rPr>
        <w:t>Totals across all selected languages: [videos/minutes/Shorts per month]. Required project files, visual exceptions, export format and schedule overrides: [complete or attach an initialled scope sheet].</w:t>
      </w:r>
    </w:p>
    <w:p>
      <w:pPr>
        <w:pStyle w:val="Heading1"/>
        <w:pageBreakBefore/>
        <w:spacing w:after="100" w:line="240" w:lineRule="auto"/>
      </w:pPr>
      <w:r>
        <w:t>Annex A Financial choices and identity authorization</w:t>
      </w:r>
    </w:p>
    <w:p>
      <w:pPr>
        <w:pStyle w:val="Heading2"/>
        <w:spacing w:after="100" w:line="240" w:lineRule="auto"/>
      </w:pPr>
      <w:r>
        <w:rPr>
          <w:color w:val="8614E8"/>
        </w:rPr>
        <w:t>Financial and exit terms requiring express acceptance</w:t>
      </w:r>
    </w:p>
    <w:p>
      <w:pPr>
        <w:spacing w:after="100" w:line="240" w:lineRule="auto"/>
      </w:pPr>
      <w:r>
        <w:t>EUR 500 deposit; return no later than three calendar months after effective termination, subject only to clause 5 deductions and dispute handling. Initials: Agency ______ Creator ______</w:t>
      </w:r>
    </w:p>
    <w:p>
      <w:pPr>
        <w:spacing w:after="100" w:line="240" w:lineRule="auto"/>
      </w:pPr>
      <w:r>
        <w:rPr>
          <w:b w:val="0"/>
        </w:rPr>
        <w:t>Proposed monthly statements by day 10; payment within 15 calendar days after the invoice and supporting calculation. Permitted deductions are exclusively those in clause 5. Initials: Agency ______ Creator ______</w:t>
      </w:r>
    </w:p>
    <w:p>
      <w:pPr>
        <w:spacing w:after="100" w:line="240" w:lineRule="auto"/>
      </w:pPr>
      <w:r>
        <w:rPr>
          <w:b w:val="0"/>
        </w:rPr>
        <w:t>Proposed SIX MONTH revenue tail, limited to registered eligible localized deliverables under clause 6, replacing the previous sixty-day period. No early-exit fee or perpetual royalty. Initials: Agency ______ Creator ______</w:t>
      </w:r>
    </w:p>
    <w:p>
      <w:pPr>
        <w:spacing w:after="100" w:line="240" w:lineRule="auto"/>
      </w:pPr>
      <w:r>
        <w:rPr>
          <w:b w:val="0"/>
        </w:rPr>
        <w:t>Approved separate expenses, if any, with a written cap and payment date: [none / attach details].</w:t>
        <w:br/>
        <w:t>Any pre-existing videos excluded from revenue sharing: [list or none].</w:t>
        <w:br/>
        <w:t>Any special attribution for memberships, sponsorship or affiliates: [list or none].</w:t>
        <w:br/>
        <w:t>Agreed processors, retention schedule and data processing annex reference: [complete before data access].</w:t>
      </w:r>
    </w:p>
    <w:p>
      <w:pPr>
        <w:pStyle w:val="Heading2"/>
        <w:spacing w:after="100" w:line="240" w:lineRule="auto"/>
      </w:pPr>
      <w:r>
        <w:rPr>
          <w:color w:val="8614E8"/>
        </w:rPr>
        <w:t>Specific voice and likeness authorization</w:t>
      </w:r>
    </w:p>
    <w:p>
      <w:pPr>
        <w:spacing w:after="100" w:line="240" w:lineRule="auto"/>
      </w:pPr>
      <w:r>
        <w:t>Person whose voice or likeness is used: [full name].</w:t>
        <w:br/>
        <w:t>If signed by a representative: [name, authority and supporting evidence].</w:t>
        <w:br/>
        <w:t>Approved source recordings or videos: [identify].</w:t>
        <w:br/>
        <w:t>Target language: English. Channels and platforms: [identify]. Additional languages require separate written authorization. Complete one signed authorization per person, including the Creator; attach additional signed copies for other speakers.</w:t>
      </w:r>
    </w:p>
    <w:p>
      <w:pPr>
        <w:spacing w:after="100" w:line="240" w:lineRule="auto"/>
      </w:pPr>
      <w:r>
        <w:t>Select and initial each permitted activity separately:</w:t>
        <w:br/>
        <w:t>[  ] Creation and use of an AI replica of my voice solely to dub approved scripts into English. Initials: ______</w:t>
        <w:br/>
        <w:t>[  ] Modification of lip movements in the approved source videos for localization. Initials: ______</w:t>
        <w:br/>
        <w:t>[  ] Publication of those approved versions on the listed channels, accessible worldwide. Initials: ______</w:t>
      </w:r>
    </w:p>
    <w:p>
      <w:pPr>
        <w:spacing w:after="100" w:line="240" w:lineRule="auto"/>
      </w:pPr>
      <w:r>
        <w:rPr>
          <w:b w:val="0"/>
        </w:rPr>
        <w:t>I authorize only the checked activities under clause 7. No unrelated statements, endorsements, model resale or general-purpose model training are authorized. Creation of new versions ends when the service term ends or consent is lawfully withdrawn. Existing approved publications may remain available subject to applicable rights and any valid withdrawal; this permission does not make consent irrevocable.</w:t>
      </w:r>
    </w:p>
    <w:p>
      <w:pPr>
        <w:spacing w:after="100" w:line="240" w:lineRule="auto"/>
      </w:pPr>
      <w:r>
        <w:rPr>
          <w:b w:val="0"/>
        </w:rPr>
        <w:t>Withdrawal or restriction contact: [Agency and Creator notice emails]. The Agency will stop new affected generation on receipt and coordinate any required restriction or removal. Any legal consequences of withdrawal are determined by applicable law, not an automatic penalty.</w:t>
      </w:r>
    </w:p>
    <w:p>
      <w:pPr>
        <w:spacing w:after="100" w:line="240" w:lineRule="auto"/>
      </w:pPr>
      <w:r>
        <w:rPr>
          <w:b w:val="0"/>
        </w:rPr>
        <w:t>Authorized person signature: ____________________    Date: ________________</w:t>
      </w:r>
    </w:p>
    <w:p>
      <w:pPr>
        <w:pStyle w:val="Heading2"/>
        <w:spacing w:after="100" w:line="240" w:lineRule="auto"/>
      </w:pPr>
      <w:r>
        <w:rPr>
          <w:color w:val="8614E8"/>
        </w:rPr>
        <w:t>10 Signatures and acceptance of Annex A</w:t>
      </w:r>
    </w:p>
    <w:p>
      <w:pPr>
        <w:spacing w:after="100" w:line="240" w:lineRule="auto"/>
      </w:pPr>
      <w:r>
        <w:rPr>
          <w:b w:val="0"/>
        </w:rPr>
        <w:t>The parties accept the completed scope and financial choices above. No blank scope field represents unlimited service. Production does not begin until the plan, languages, totals, required files and relevant permissions are complete.</w:t>
      </w:r>
    </w:p>
    <w:p>
      <w:pPr>
        <w:spacing w:after="100" w:line="240" w:lineRule="auto"/>
      </w:pPr>
      <w:r>
        <w:rPr>
          <w:b w:val="0"/>
        </w:rPr>
        <w:t>The parties confirm authority to sign and accept the Agreement together with this completed Annex A. The separate voice and likeness authorization must be signed by its rights holder where required.</w:t>
      </w:r>
    </w:p>
    <w:p>
      <w:pPr>
        <w:spacing w:after="100" w:line="240" w:lineRule="auto"/>
      </w:pPr>
      <w:r>
        <w:rPr>
          <w:b w:val="0"/>
        </w:rPr>
        <w:t>Niko Media signature: _________________________    Date: ________________</w:t>
        <w:br/>
        <w:t>Creator signature: ____________________________    Date: ________________</w:t>
      </w:r>
    </w:p>
    <w:sectPr w:rsidR="00FC693F" w:rsidRPr="0006063C" w:rsidSect="00034616">
      <w:headerReference w:type="default" r:id="rId9"/>
      <w:footerReference w:type="default" r:id="rId10"/>
      <w:pgSz w:w="12240" w:h="15840"/>
      <w:pgMar w:top="979" w:right="1123" w:bottom="979" w:left="1123" w:header="259"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unito" w:hAnsi="Nunito"/>
        <w:color w:val="8614E8"/>
        <w:sz w:val="16"/>
      </w:rPr>
      <w:t xml:space="preserve">REVIEW VERSION  •  14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371600" cy="420624"/>
          <wp:docPr id="1" name="Picture 1"/>
          <wp:cNvGraphicFramePr>
            <a:graphicFrameLocks noChangeAspect="1"/>
          </wp:cNvGraphicFramePr>
          <a:graphic>
            <a:graphicData uri="http://schemas.openxmlformats.org/drawingml/2006/picture">
              <pic:pic>
                <pic:nvPicPr>
                  <pic:cNvPr id="0" name="logo.png"/>
                  <pic:cNvPicPr/>
                </pic:nvPicPr>
                <pic:blipFill>
                  <a:blip r:embed="rId1"/>
                  <a:srcRect l="13500" r="12500" t="38500" b="38500"/>
                  <a:stretch>
                    <a:fillRect/>
                  </a:stretch>
                </pic:blipFill>
                <pic:spPr>
                  <a:xfrm>
                    <a:off x="0" y="0"/>
                    <a:ext cx="1371600" cy="42062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40"/>
      <w:outlineLvl w:val="0"/>
    </w:pPr>
    <w:rPr>
      <w:rFonts w:asciiTheme="majorHAnsi" w:eastAsiaTheme="majorEastAsia" w:hAnsiTheme="majorHAnsi" w:cstheme="majorBidi" w:ascii="Nunito" w:hAnsi="Nunito"/>
      <w:b/>
      <w:bCs/>
      <w:color w:val="8614E8"/>
      <w:sz w:val="34"/>
      <w:szCs w:val="28"/>
    </w:rPr>
  </w:style>
  <w:style w:type="paragraph" w:styleId="Heading2">
    <w:name w:val="heading 2"/>
    <w:basedOn w:val="Normal"/>
    <w:next w:val="Normal"/>
    <w:link w:val="Heading2Char"/>
    <w:uiPriority w:val="9"/>
    <w:unhideWhenUsed/>
    <w:qFormat/>
    <w:rsid w:val="00FC693F"/>
    <w:pPr>
      <w:keepNext/>
      <w:keepLines/>
      <w:spacing w:before="220" w:after="140"/>
      <w:outlineLvl w:val="1"/>
    </w:pPr>
    <w:rPr>
      <w:rFonts w:asciiTheme="majorHAnsi" w:eastAsiaTheme="majorEastAsia" w:hAnsiTheme="majorHAnsi" w:cstheme="majorBidi" w:ascii="Nunito" w:hAnsi="Nunito"/>
      <w:b/>
      <w:bCs/>
      <w:color w:val="8614E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20"/>
      <w:contextualSpacing/>
    </w:pPr>
    <w:rPr>
      <w:rFonts w:asciiTheme="majorHAnsi" w:eastAsiaTheme="majorEastAsia" w:hAnsiTheme="majorHAnsi" w:cstheme="majorBidi" w:ascii="Nunito" w:hAnsi="Nunito"/>
      <w:b/>
      <w:color w:val="15121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Niko Media Global Content Localization Agreement</dc:title>
  <dc:subject>Revised agreement for review with Core 30 percent and Premium 50 percent</dc:subject>
  <dc:creator>Niko Media</dc:creator>
  <cp:keywords/>
  <dc:description>generated by python-docx</dc:description>
  <cp:lastModifiedBy/>
  <cp:revision>1</cp:revision>
  <dcterms:created xsi:type="dcterms:W3CDTF">2013-12-23T23:15:00Z</dcterms:created>
  <dcterms:modified xsi:type="dcterms:W3CDTF">2013-12-23T23:15:00Z</dcterms:modified>
  <cp:category/>
</cp:coreProperties>
</file>